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color w:val="041e42"/>
          <w:sz w:val="40"/>
          <w:szCs w:val="40"/>
        </w:rPr>
      </w:pPr>
      <w:r w:rsidDel="00000000" w:rsidR="00000000" w:rsidRPr="00000000">
        <w:rPr>
          <w:b w:val="1"/>
          <w:color w:val="041e42"/>
          <w:sz w:val="40"/>
          <w:szCs w:val="40"/>
          <w:rtl w:val="0"/>
        </w:rPr>
        <w:t xml:space="preserve">Marietta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121 Winn St. NW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Marietta, GA 30064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(770) 422 - </w:t>
      </w:r>
      <w:r w:rsidDel="00000000" w:rsidR="00000000" w:rsidRPr="00000000">
        <w:rPr>
          <w:sz w:val="20"/>
          <w:szCs w:val="20"/>
          <w:rtl w:val="0"/>
        </w:rPr>
        <w:t xml:space="preserve">0311</w:t>
      </w:r>
    </w:p>
    <w:p w:rsidR="00000000" w:rsidDel="00000000" w:rsidP="00000000" w:rsidRDefault="00000000" w:rsidRPr="00000000" w14:paraId="00000005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7e94a6"/>
          <w:sz w:val="68"/>
          <w:szCs w:val="68"/>
        </w:rPr>
      </w:pPr>
      <w:bookmarkStart w:colFirst="0" w:colLast="0" w:name="_6jynaot9cbnq" w:id="0"/>
      <w:bookmarkEnd w:id="0"/>
      <w:r w:rsidDel="00000000" w:rsidR="00000000" w:rsidRPr="00000000">
        <w:rPr>
          <w:color w:val="7e94a6"/>
          <w:rtl w:val="0"/>
        </w:rPr>
        <w:t xml:space="preserve">SGT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041e42"/>
          <w:sz w:val="24"/>
          <w:szCs w:val="24"/>
        </w:rPr>
      </w:pPr>
      <w:bookmarkStart w:colFirst="0" w:colLast="0" w:name="_eqpoxxy8gmzz" w:id="1"/>
      <w:bookmarkEnd w:id="1"/>
      <w:r w:rsidDel="00000000" w:rsidR="00000000" w:rsidRPr="00000000">
        <w:rPr>
          <w:b w:val="1"/>
          <w:color w:val="041e42"/>
          <w:sz w:val="24"/>
          <w:szCs w:val="24"/>
          <w:rtl w:val="0"/>
        </w:rPr>
        <w:t xml:space="preserve">Date: March 2, 2022</w:t>
        <w:tab/>
        <w:tab/>
        <w:tab/>
        <w:tab/>
        <w:tab/>
        <w:t xml:space="preserve">Time: 7:50 am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 Marietta Middle Heather’s Office</w:t>
        <w:br w:type="textWrapping"/>
        <w:t xml:space="preserve"> </w:t>
      </w:r>
    </w:p>
    <w:tbl>
      <w:tblPr>
        <w:tblStyle w:val="Table1"/>
        <w:tblW w:w="8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2265"/>
        <w:gridCol w:w="2265"/>
        <w:gridCol w:w="2265"/>
        <w:tblGridChange w:id="0">
          <w:tblGrid>
            <w:gridCol w:w="2130"/>
            <w:gridCol w:w="2265"/>
            <w:gridCol w:w="2265"/>
            <w:gridCol w:w="226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  <w:rtl w:val="0"/>
              </w:rPr>
              <w:t xml:space="preserve">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Diona Brown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Heather Welch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Marshai Waiters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On field trip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 Bella Gay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John Silvey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Erika Rodriguez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Tangela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Emily Gross 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b w:val="1"/>
          <w:color w:val="041e4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Norms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Start on 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Consistency of meeting days/ times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Valuing each person’s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Assume good will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present and focused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professional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Think through the lens of “is this what’s best for students?” </w:t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Approve Minutes, motion by Ms. Jones and seconded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Follow up on dress code policy - effective? Adjustments? Consequences for being coded 3 times?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After-school tutoring and spring break programs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Discipline- fighting is down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Budget update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Use remaining funds to support conferences and PD for travel Motion to approve funds toward this initiative - Silvey and Jones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Ipads, furniture (innovation)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Instructional Plans for Next Year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Big Three - change from assessments to School culture (relationships being established between students/teachers)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CTAE Courses 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Construction 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Architecture/ Interior Design 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Graphic Design/ Animation (Carthers at the HS)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Science Labs (renovate?)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Cafeteria (innovative space)</w:t>
      </w:r>
    </w:p>
    <w:p w:rsidR="00000000" w:rsidDel="00000000" w:rsidP="00000000" w:rsidRDefault="00000000" w:rsidRPr="00000000" w14:paraId="00000032">
      <w:pPr>
        <w:spacing w:line="480" w:lineRule="auto"/>
        <w:ind w:left="2160" w:firstLine="0"/>
        <w:rPr>
          <w:color w:val="041e42"/>
        </w:rPr>
      </w:pPr>
      <w:r w:rsidDel="00000000" w:rsidR="00000000" w:rsidRPr="00000000">
        <w:rPr>
          <w:color w:val="041e42"/>
        </w:rPr>
        <w:drawing>
          <wp:inline distB="114300" distT="114300" distL="114300" distR="114300">
            <wp:extent cx="4586288" cy="3646099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20416"/>
                    <a:stretch>
                      <a:fillRect/>
                    </a:stretch>
                  </pic:blipFill>
                  <pic:spPr>
                    <a:xfrm>
                      <a:off x="0" y="0"/>
                      <a:ext cx="4586288" cy="36460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Set Agenda for next meeting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Determine next meeting </w:t>
      </w:r>
      <w:r w:rsidDel="00000000" w:rsidR="00000000" w:rsidRPr="00000000">
        <w:rPr>
          <w:color w:val="041e42"/>
          <w:rtl w:val="0"/>
        </w:rPr>
        <w:t xml:space="preserve">Apr 13,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Wrap up of the year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Plans for next year </w:t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Chromebooks 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Adjournment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480" w:lineRule="auto"/>
        <w:ind w:left="720" w:firstLine="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Motion to adjourn by Ms. Jones and seconded by Ms. Gross</w:t>
      </w:r>
    </w:p>
    <w:sectPr>
      <w:headerReference r:id="rId7" w:type="first"/>
      <w:headerReference r:id="rId8" w:type="default"/>
      <w:footerReference r:id="rId9" w:type="first"/>
      <w:footerReference r:id="rId10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171450</wp:posOffset>
          </wp:positionV>
          <wp:extent cx="7786688" cy="1060518"/>
          <wp:effectExtent b="0" l="0" r="0" t="0"/>
          <wp:wrapSquare wrapText="bothSides" distB="0" distT="0" distL="0" distR="0"/>
          <wp:docPr descr="footer graphic" id="3" name="image6.png"/>
          <a:graphic>
            <a:graphicData uri="http://schemas.openxmlformats.org/drawingml/2006/picture">
              <pic:pic>
                <pic:nvPicPr>
                  <pic:cNvPr descr="footer graphic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ind w:left="-15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180975</wp:posOffset>
          </wp:positionV>
          <wp:extent cx="7786688" cy="1060518"/>
          <wp:effectExtent b="0" l="0" r="0" t="0"/>
          <wp:wrapSquare wrapText="bothSides" distB="0" distT="0" distL="0" distR="0"/>
          <wp:docPr descr="footer graphic" id="1" name="image5.png"/>
          <a:graphic>
            <a:graphicData uri="http://schemas.openxmlformats.org/drawingml/2006/picture">
              <pic:pic>
                <pic:nvPicPr>
                  <pic:cNvPr descr="footer graphic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5e56a"/>
        <w:sz w:val="24"/>
        <w:szCs w:val="24"/>
      </w:rPr>
    </w:pPr>
    <w:r w:rsidDel="00000000" w:rsidR="00000000" w:rsidRPr="00000000">
      <w:rPr>
        <w:color w:val="e5e56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5e56a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b="0" l="0" r="0" t="0"/>
          <wp:wrapSquare wrapText="bothSides" distB="0" distT="0" distL="0" distR="0"/>
          <wp:docPr descr="corner graphic" id="4" name="image7.png"/>
          <a:graphic>
            <a:graphicData uri="http://schemas.openxmlformats.org/drawingml/2006/picture">
              <pic:pic>
                <pic:nvPicPr>
                  <pic:cNvPr descr="corner graphic"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b="0" l="0" r="0" t="0"/>
          <wp:wrapSquare wrapText="bothSides" distB="0" distT="0" distL="0" distR="0"/>
          <wp:docPr descr="corner graphic" id="2" name="image3.png"/>
          <a:graphic>
            <a:graphicData uri="http://schemas.openxmlformats.org/drawingml/2006/picture">
              <pic:pic>
                <pic:nvPicPr>
                  <pic:cNvPr descr="corner graphic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color w:val="66666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66666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2"/>
        <w:szCs w:val="22"/>
        <w:lang w:val="en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